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A4" w:rsidRPr="00DA75A4" w:rsidRDefault="00DA75A4" w:rsidP="00DA75A4">
      <w:pPr>
        <w:rPr>
          <w:rFonts w:ascii="ＭＳ Ｐゴシック" w:eastAsia="ＭＳ Ｐゴシック" w:hAnsi="ＭＳ Ｐゴシック"/>
          <w:b/>
          <w:color w:val="FFFFFF" w:themeColor="background1"/>
          <w:spacing w:val="-1"/>
          <w:sz w:val="20"/>
          <w:szCs w:val="20"/>
        </w:rPr>
      </w:pPr>
      <w:bookmarkStart w:id="0" w:name="追加資料4"/>
      <w:r w:rsidRPr="00DA75A4">
        <w:rPr>
          <w:rFonts w:ascii="ＭＳ Ｐゴシック" w:eastAsia="ＭＳ Ｐゴシック" w:hAnsi="ＭＳ Ｐゴシック"/>
          <w:b/>
          <w:color w:val="FFFFFF" w:themeColor="background1"/>
          <w:spacing w:val="-1"/>
          <w:sz w:val="20"/>
          <w:szCs w:val="20"/>
          <w:highlight w:val="blue"/>
        </w:rPr>
        <w:t>Online</w:t>
      </w:r>
      <w:r w:rsidRPr="00DA75A4">
        <w:rPr>
          <w:rFonts w:ascii="ＭＳ Ｐゴシック" w:eastAsia="ＭＳ Ｐゴシック" w:hAnsi="ＭＳ Ｐゴシック" w:hint="eastAsia"/>
          <w:b/>
          <w:color w:val="FFFFFF" w:themeColor="background1"/>
          <w:spacing w:val="-1"/>
          <w:sz w:val="20"/>
          <w:szCs w:val="20"/>
          <w:highlight w:val="blue"/>
        </w:rPr>
        <w:t xml:space="preserve"> materials</w:t>
      </w:r>
    </w:p>
    <w:p w:rsidR="00DA75A4" w:rsidRPr="00DA75A4" w:rsidRDefault="00DA75A4" w:rsidP="00DA75A4">
      <w:pPr>
        <w:rPr>
          <w:rFonts w:ascii="ＭＳ Ｐゴシック" w:eastAsia="ＭＳ Ｐゴシック" w:hAnsi="ＭＳ Ｐゴシック"/>
          <w:sz w:val="36"/>
          <w:szCs w:val="40"/>
          <w:u w:val="single"/>
        </w:rPr>
      </w:pPr>
      <w:r w:rsidRPr="00DA75A4">
        <w:rPr>
          <w:rFonts w:ascii="ＭＳ Ｐゴシック" w:eastAsia="ＭＳ Ｐゴシック" w:hAnsi="ＭＳ Ｐゴシック"/>
          <w:sz w:val="36"/>
          <w:szCs w:val="40"/>
          <w:u w:val="single"/>
        </w:rPr>
        <w:t xml:space="preserve">GIN-McMaster </w:t>
      </w:r>
      <w:r w:rsidR="002A0646">
        <w:rPr>
          <w:rFonts w:ascii="ＭＳ Ｐゴシック" w:eastAsia="ＭＳ Ｐゴシック" w:hAnsi="ＭＳ Ｐゴシック" w:hint="eastAsia"/>
          <w:sz w:val="36"/>
          <w:szCs w:val="40"/>
          <w:u w:val="single"/>
        </w:rPr>
        <w:t>ガイドライン作成チェックリスト</w:t>
      </w:r>
    </w:p>
    <w:p w:rsidR="00DA75A4" w:rsidRDefault="00DA75A4" w:rsidP="00DA75A4">
      <w:pPr>
        <w:autoSpaceDE w:val="0"/>
        <w:autoSpaceDN w:val="0"/>
        <w:adjustRightInd w:val="0"/>
        <w:snapToGrid w:val="0"/>
        <w:jc w:val="left"/>
        <w:rPr>
          <w:rFonts w:ascii="ＭＳ Ｐ明朝" w:eastAsia="ＭＳ Ｐ明朝" w:hAnsi="ＭＳ Ｐ明朝" w:cs="Times New Roman"/>
          <w:snapToGrid w:val="0"/>
          <w:spacing w:val="-1"/>
          <w:kern w:val="0"/>
          <w:sz w:val="18"/>
          <w:szCs w:val="18"/>
        </w:rPr>
      </w:pPr>
      <w:r w:rsidRPr="00DA75A4">
        <w:rPr>
          <w:rFonts w:ascii="ＭＳ Ｐ明朝" w:eastAsia="ＭＳ Ｐ明朝" w:hAnsi="ＭＳ Ｐ明朝" w:cs="Times New Roman" w:hint="eastAsia"/>
          <w:snapToGrid w:val="0"/>
          <w:spacing w:val="-1"/>
          <w:kern w:val="0"/>
          <w:sz w:val="18"/>
          <w:szCs w:val="18"/>
        </w:rPr>
        <w:t>「診療ガイドラインのためのGRADEシステム（第2版）」（相原、凸版メディア、2015</w:t>
      </w:r>
      <w:r>
        <w:rPr>
          <w:rFonts w:ascii="ＭＳ Ｐ明朝" w:eastAsia="ＭＳ Ｐ明朝" w:hAnsi="ＭＳ Ｐ明朝" w:cs="Times New Roman" w:hint="eastAsia"/>
          <w:snapToGrid w:val="0"/>
          <w:spacing w:val="-1"/>
          <w:kern w:val="0"/>
          <w:sz w:val="18"/>
          <w:szCs w:val="18"/>
        </w:rPr>
        <w:t>年）のオンライン追加資料です。</w:t>
      </w:r>
    </w:p>
    <w:p w:rsidR="009902F6" w:rsidRDefault="00EC2CFD" w:rsidP="00DA75A4">
      <w:pPr>
        <w:autoSpaceDE w:val="0"/>
        <w:autoSpaceDN w:val="0"/>
        <w:adjustRightInd w:val="0"/>
        <w:snapToGrid w:val="0"/>
        <w:jc w:val="left"/>
      </w:pPr>
      <w:hyperlink r:id="rId9" w:history="1">
        <w:r w:rsidR="009902F6" w:rsidRPr="009A4B15">
          <w:rPr>
            <w:rStyle w:val="ae"/>
          </w:rPr>
          <w:t>http://www.grade-jpn.com/online_supplementals/online_supplemental_materials.html</w:t>
        </w:r>
      </w:hyperlink>
    </w:p>
    <w:p w:rsidR="00A24126" w:rsidRPr="00DA75A4" w:rsidRDefault="00A24126" w:rsidP="00DA75A4">
      <w:pPr>
        <w:autoSpaceDE w:val="0"/>
        <w:autoSpaceDN w:val="0"/>
        <w:adjustRightInd w:val="0"/>
        <w:snapToGrid w:val="0"/>
        <w:jc w:val="left"/>
        <w:rPr>
          <w:rFonts w:ascii="ＭＳ Ｐ明朝" w:eastAsia="ＭＳ Ｐ明朝" w:hAnsi="ＭＳ Ｐ明朝" w:cs="Times New Roman"/>
          <w:snapToGrid w:val="0"/>
          <w:spacing w:val="-1"/>
          <w:kern w:val="0"/>
          <w:sz w:val="18"/>
          <w:szCs w:val="18"/>
        </w:rPr>
      </w:pPr>
    </w:p>
    <w:p w:rsidR="0042632C" w:rsidRPr="003F1F9C" w:rsidRDefault="0042632C" w:rsidP="000E19D6">
      <w:pPr>
        <w:pStyle w:val="ad"/>
        <w:numPr>
          <w:ilvl w:val="0"/>
          <w:numId w:val="3"/>
        </w:numPr>
        <w:kinsoku w:val="0"/>
        <w:overflowPunct w:val="0"/>
        <w:autoSpaceDE w:val="0"/>
        <w:autoSpaceDN w:val="0"/>
        <w:adjustRightInd w:val="0"/>
        <w:ind w:leftChars="0" w:hanging="136"/>
        <w:jc w:val="left"/>
        <w:rPr>
          <w:rFonts w:ascii="ＭＳ Ｐ明朝" w:eastAsia="ＭＳ Ｐ明朝" w:hAnsi="ＭＳ Ｐ明朝" w:cs="Times New Roman"/>
          <w:snapToGrid w:val="0"/>
          <w:kern w:val="0"/>
          <w:sz w:val="18"/>
          <w:szCs w:val="18"/>
        </w:rPr>
      </w:pPr>
      <w:r w:rsidRPr="003F1F9C">
        <w:rPr>
          <w:rFonts w:ascii="ＭＳ Ｐ明朝" w:eastAsia="ＭＳ Ｐ明朝" w:hAnsi="ＭＳ Ｐ明朝" w:cs="Times New Roman" w:hint="eastAsia"/>
          <w:snapToGrid w:val="0"/>
          <w:kern w:val="0"/>
          <w:sz w:val="18"/>
          <w:szCs w:val="18"/>
        </w:rPr>
        <w:t>詳細は書籍の</w:t>
      </w:r>
      <w:r w:rsidRPr="003F1F9C">
        <w:rPr>
          <w:rFonts w:ascii="ＭＳ Ｐゴシック" w:eastAsia="ＭＳ Ｐゴシック" w:hAnsi="ＭＳ Ｐゴシック" w:cs="Times New Roman" w:hint="eastAsia"/>
          <w:b/>
          <w:snapToGrid w:val="0"/>
          <w:color w:val="0070C0"/>
          <w:kern w:val="0"/>
          <w:sz w:val="18"/>
          <w:szCs w:val="18"/>
        </w:rPr>
        <w:t>4.6</w:t>
      </w:r>
      <w:r w:rsidR="00834704" w:rsidRPr="003F1F9C">
        <w:rPr>
          <w:rFonts w:ascii="ＭＳ Ｐゴシック" w:eastAsia="ＭＳ Ｐゴシック" w:hAnsi="ＭＳ Ｐゴシック" w:cs="Times New Roman" w:hint="eastAsia"/>
          <w:b/>
          <w:snapToGrid w:val="0"/>
          <w:color w:val="0070C0"/>
          <w:kern w:val="0"/>
          <w:sz w:val="18"/>
          <w:szCs w:val="18"/>
        </w:rPr>
        <w:t>.2.1</w:t>
      </w:r>
      <w:r w:rsidRPr="003F1F9C">
        <w:rPr>
          <w:rFonts w:ascii="ＭＳ Ｐゴシック" w:eastAsia="ＭＳ Ｐゴシック" w:hAnsi="ＭＳ Ｐゴシック" w:cs="Times New Roman" w:hint="eastAsia"/>
          <w:b/>
          <w:snapToGrid w:val="0"/>
          <w:color w:val="0070C0"/>
          <w:kern w:val="0"/>
          <w:sz w:val="18"/>
          <w:szCs w:val="18"/>
        </w:rPr>
        <w:t>章</w:t>
      </w:r>
      <w:r w:rsidR="00E735C6" w:rsidRPr="003F1F9C">
        <w:rPr>
          <w:rFonts w:ascii="ＭＳ Ｐ明朝" w:eastAsia="ＭＳ Ｐ明朝" w:hAnsi="ＭＳ Ｐ明朝" w:cs="Times New Roman" w:hint="eastAsia"/>
          <w:snapToGrid w:val="0"/>
          <w:kern w:val="0"/>
          <w:sz w:val="18"/>
          <w:szCs w:val="18"/>
        </w:rPr>
        <w:t>、</w:t>
      </w:r>
      <w:r w:rsidR="00E735C6" w:rsidRPr="003F1F9C">
        <w:rPr>
          <w:rFonts w:ascii="ＭＳ Ｐゴシック" w:eastAsia="ＭＳ Ｐゴシック" w:hAnsi="ＭＳ Ｐゴシック" w:cs="Times New Roman" w:hint="eastAsia"/>
          <w:b/>
          <w:snapToGrid w:val="0"/>
          <w:color w:val="0070C0"/>
          <w:kern w:val="0"/>
          <w:sz w:val="18"/>
          <w:szCs w:val="18"/>
        </w:rPr>
        <w:t>追加資料-④</w:t>
      </w:r>
      <w:r w:rsidR="00E735C6" w:rsidRPr="003F1F9C">
        <w:rPr>
          <w:rFonts w:ascii="ＭＳ Ｐ明朝" w:eastAsia="ＭＳ Ｐ明朝" w:hAnsi="ＭＳ Ｐ明朝" w:cs="Times New Roman" w:hint="eastAsia"/>
          <w:snapToGrid w:val="0"/>
          <w:kern w:val="0"/>
          <w:sz w:val="18"/>
          <w:szCs w:val="18"/>
        </w:rPr>
        <w:t>を</w:t>
      </w:r>
      <w:r w:rsidRPr="003F1F9C">
        <w:rPr>
          <w:rFonts w:ascii="ＭＳ Ｐ明朝" w:eastAsia="ＭＳ Ｐ明朝" w:hAnsi="ＭＳ Ｐ明朝" w:cs="Times New Roman" w:hint="eastAsia"/>
          <w:snapToGrid w:val="0"/>
          <w:kern w:val="0"/>
          <w:sz w:val="18"/>
          <w:szCs w:val="18"/>
        </w:rPr>
        <w:t>参照ください。</w:t>
      </w:r>
    </w:p>
    <w:p w:rsidR="00DA75A4" w:rsidRPr="003F1F9C" w:rsidRDefault="00DA75A4" w:rsidP="000E19D6">
      <w:pPr>
        <w:pStyle w:val="ad"/>
        <w:numPr>
          <w:ilvl w:val="0"/>
          <w:numId w:val="3"/>
        </w:numPr>
        <w:kinsoku w:val="0"/>
        <w:overflowPunct w:val="0"/>
        <w:autoSpaceDE w:val="0"/>
        <w:autoSpaceDN w:val="0"/>
        <w:adjustRightInd w:val="0"/>
        <w:ind w:leftChars="0" w:hanging="136"/>
        <w:jc w:val="left"/>
        <w:rPr>
          <w:rFonts w:ascii="ＭＳ Ｐ明朝" w:eastAsia="ＭＳ Ｐ明朝" w:hAnsi="ＭＳ Ｐ明朝" w:cs="Times New Roman"/>
          <w:snapToGrid w:val="0"/>
          <w:kern w:val="0"/>
          <w:sz w:val="18"/>
          <w:szCs w:val="18"/>
        </w:rPr>
      </w:pPr>
      <w:r w:rsidRPr="003F1F9C">
        <w:rPr>
          <w:rFonts w:ascii="ＭＳ Ｐ明朝" w:eastAsia="ＭＳ Ｐ明朝" w:hAnsi="ＭＳ Ｐ明朝" w:cs="Times New Roman" w:hint="eastAsia"/>
          <w:snapToGrid w:val="0"/>
          <w:kern w:val="0"/>
          <w:sz w:val="18"/>
          <w:szCs w:val="18"/>
        </w:rPr>
        <w:t>本資料のファイル名：</w:t>
      </w:r>
      <w:r w:rsidRPr="003F1F9C">
        <w:rPr>
          <w:rFonts w:ascii="ＭＳ Ｐ明朝" w:eastAsia="ＭＳ Ｐ明朝" w:hAnsi="ＭＳ Ｐ明朝" w:cs="Times New Roman"/>
          <w:snapToGrid w:val="0"/>
          <w:kern w:val="0"/>
          <w:sz w:val="18"/>
          <w:szCs w:val="18"/>
        </w:rPr>
        <w:t>GIN-McMaster_checklist-jp.docx</w:t>
      </w:r>
      <w:r w:rsidRPr="003F1F9C">
        <w:rPr>
          <w:rFonts w:ascii="ＭＳ Ｐ明朝" w:eastAsia="ＭＳ Ｐ明朝" w:hAnsi="ＭＳ Ｐ明朝" w:cs="Times New Roman" w:hint="eastAsia"/>
          <w:snapToGrid w:val="0"/>
          <w:kern w:val="0"/>
          <w:sz w:val="18"/>
          <w:szCs w:val="18"/>
        </w:rPr>
        <w:t xml:space="preserve">　（相原作成、2014年12月）</w:t>
      </w:r>
    </w:p>
    <w:bookmarkEnd w:id="0"/>
    <w:p w:rsidR="00DA75A4" w:rsidRPr="00DA75A4" w:rsidRDefault="00DA75A4" w:rsidP="00DA75A4">
      <w:pPr>
        <w:rPr>
          <w:rFonts w:ascii="ＭＳ Ｐ明朝" w:eastAsia="ＭＳ Ｐ明朝" w:hAnsi="ＭＳ Ｐ明朝"/>
          <w:sz w:val="20"/>
          <w:szCs w:val="20"/>
        </w:rPr>
      </w:pPr>
    </w:p>
    <w:p w:rsidR="00DA75A4" w:rsidRPr="00256995" w:rsidRDefault="00DA75A4" w:rsidP="00256995">
      <w:pPr>
        <w:snapToGrid w:val="0"/>
        <w:ind w:firstLineChars="100" w:firstLine="180"/>
        <w:rPr>
          <w:rFonts w:ascii="ＭＳ Ｐ明朝" w:eastAsia="ＭＳ Ｐ明朝" w:hAnsi="ＭＳ Ｐ明朝"/>
          <w:sz w:val="18"/>
          <w:szCs w:val="20"/>
        </w:rPr>
      </w:pPr>
      <w:r w:rsidRPr="00256995">
        <w:rPr>
          <w:rFonts w:ascii="ＭＳ Ｐ明朝" w:eastAsia="ＭＳ Ｐ明朝" w:hAnsi="ＭＳ Ｐ明朝" w:hint="eastAsia"/>
          <w:sz w:val="18"/>
          <w:szCs w:val="20"/>
        </w:rPr>
        <w:t>McMaster大学とGuidelines International Network (GIN)が連携して、GRADEワーキンググループが中心となって作成したガイドラインプロジェクトを成功させるための包括的チェックリストが</w:t>
      </w:r>
      <w:r w:rsidRPr="00256995">
        <w:rPr>
          <w:rFonts w:ascii="ＭＳ Ｐゴシック" w:eastAsia="ＭＳ Ｐゴシック" w:hAnsi="ＭＳ Ｐゴシック"/>
          <w:b/>
          <w:sz w:val="18"/>
          <w:szCs w:val="20"/>
        </w:rPr>
        <w:t>GIN-McMaster Guideline Development Checklist</w:t>
      </w:r>
      <w:r w:rsidRPr="00256995">
        <w:rPr>
          <w:rStyle w:val="a5"/>
          <w:rFonts w:ascii="ＭＳ Ｐゴシック" w:eastAsia="ＭＳ Ｐゴシック" w:hAnsi="ＭＳ Ｐゴシック"/>
          <w:b/>
          <w:sz w:val="18"/>
          <w:szCs w:val="20"/>
        </w:rPr>
        <w:footnoteReference w:id="1"/>
      </w:r>
      <w:r w:rsidRPr="00256995">
        <w:rPr>
          <w:rFonts w:ascii="ＭＳ Ｐ明朝" w:eastAsia="ＭＳ Ｐ明朝" w:hAnsi="ＭＳ Ｐ明朝"/>
          <w:sz w:val="18"/>
          <w:szCs w:val="20"/>
        </w:rPr>
        <w:fldChar w:fldCharType="begin"/>
      </w:r>
      <w:r w:rsidRPr="00256995">
        <w:rPr>
          <w:sz w:val="20"/>
        </w:rPr>
        <w:instrText xml:space="preserve"> XE "</w:instrText>
      </w:r>
      <w:r w:rsidRPr="00256995">
        <w:rPr>
          <w:rFonts w:ascii="ＭＳ Ｐゴシック" w:eastAsia="ＭＳ Ｐゴシック" w:hAnsi="ＭＳ Ｐゴシック" w:hint="eastAsia"/>
          <w:b/>
          <w:sz w:val="18"/>
          <w:szCs w:val="20"/>
        </w:rPr>
        <w:instrText>ガイドライン作成チェックリスト：Guidelines 2.0</w:instrText>
      </w:r>
      <w:r w:rsidRPr="00256995">
        <w:rPr>
          <w:rFonts w:ascii="ＭＳ Ｐ明朝" w:eastAsia="ＭＳ Ｐ明朝" w:hAnsi="ＭＳ Ｐ明朝" w:hint="eastAsia"/>
          <w:sz w:val="18"/>
          <w:szCs w:val="20"/>
        </w:rPr>
        <w:instrText>）</w:instrText>
      </w:r>
      <w:r w:rsidRPr="00256995">
        <w:rPr>
          <w:rFonts w:ascii="ＭＳ Ｐ明朝" w:eastAsia="ＭＳ Ｐ明朝" w:hAnsi="ＭＳ Ｐ明朝"/>
          <w:sz w:val="18"/>
          <w:szCs w:val="20"/>
        </w:rPr>
        <w:instrText>:</w:instrText>
      </w:r>
      <w:r w:rsidRPr="00256995">
        <w:rPr>
          <w:rFonts w:hint="eastAsia"/>
          <w:sz w:val="20"/>
        </w:rPr>
        <w:instrText>追加資料</w:instrText>
      </w:r>
      <w:r w:rsidRPr="00256995">
        <w:rPr>
          <w:sz w:val="20"/>
        </w:rPr>
        <w:instrText>" \y "</w:instrText>
      </w:r>
      <w:r w:rsidRPr="00256995">
        <w:rPr>
          <w:sz w:val="20"/>
        </w:rPr>
        <w:instrText>がいどらいんさくせいちぇっくりすと：Ｇｕｉｄｅｌｉｎｅｓ　２．０）</w:instrText>
      </w:r>
      <w:r w:rsidRPr="00256995">
        <w:rPr>
          <w:sz w:val="20"/>
        </w:rPr>
        <w:instrText>:</w:instrText>
      </w:r>
      <w:r w:rsidRPr="00256995">
        <w:rPr>
          <w:sz w:val="20"/>
        </w:rPr>
        <w:instrText>ついかしりょう</w:instrText>
      </w:r>
      <w:r w:rsidRPr="00256995">
        <w:rPr>
          <w:sz w:val="20"/>
        </w:rPr>
        <w:instrText xml:space="preserve">" </w:instrText>
      </w:r>
      <w:r w:rsidRPr="00256995">
        <w:rPr>
          <w:rFonts w:ascii="ＭＳ Ｐ明朝" w:eastAsia="ＭＳ Ｐ明朝" w:hAnsi="ＭＳ Ｐ明朝"/>
          <w:sz w:val="18"/>
          <w:szCs w:val="20"/>
        </w:rPr>
        <w:fldChar w:fldCharType="end"/>
      </w:r>
      <w:r w:rsidRPr="00256995">
        <w:rPr>
          <w:rFonts w:ascii="ＭＳ Ｐ明朝" w:eastAsia="ＭＳ Ｐ明朝" w:hAnsi="ＭＳ Ｐ明朝" w:hint="eastAsia"/>
          <w:sz w:val="18"/>
          <w:szCs w:val="20"/>
        </w:rPr>
        <w:t>である</w:t>
      </w:r>
      <w:r w:rsidR="002A6B0B" w:rsidRPr="00256995">
        <w:rPr>
          <w:rFonts w:ascii="ＭＳ Ｐ明朝" w:eastAsia="ＭＳ Ｐ明朝" w:hAnsi="ＭＳ Ｐ明朝" w:hint="eastAsia"/>
          <w:sz w:val="18"/>
          <w:szCs w:val="20"/>
        </w:rPr>
        <w:t>（</w:t>
      </w:r>
      <w:r w:rsidRPr="00256995">
        <w:rPr>
          <w:rFonts w:ascii="ＭＳ Ｐ明朝" w:eastAsia="ＭＳ Ｐ明朝" w:hAnsi="ＭＳ Ｐ明朝"/>
          <w:sz w:val="18"/>
          <w:szCs w:val="20"/>
        </w:rPr>
        <w:t>18トピック</w:t>
      </w:r>
      <w:r w:rsidR="002A6B0B" w:rsidRPr="00256995">
        <w:rPr>
          <w:rFonts w:ascii="ＭＳ Ｐ明朝" w:eastAsia="ＭＳ Ｐ明朝" w:hAnsi="ＭＳ Ｐ明朝" w:hint="eastAsia"/>
          <w:sz w:val="18"/>
          <w:szCs w:val="20"/>
        </w:rPr>
        <w:t>、</w:t>
      </w:r>
      <w:r w:rsidRPr="00256995">
        <w:rPr>
          <w:rFonts w:ascii="ＭＳ Ｐ明朝" w:eastAsia="ＭＳ Ｐ明朝" w:hAnsi="ＭＳ Ｐ明朝"/>
          <w:sz w:val="18"/>
          <w:szCs w:val="20"/>
        </w:rPr>
        <w:t>146項目</w:t>
      </w:r>
      <w:r w:rsidR="002A6B0B" w:rsidRPr="00256995">
        <w:rPr>
          <w:rFonts w:ascii="ＭＳ Ｐ明朝" w:eastAsia="ＭＳ Ｐ明朝" w:hAnsi="ＭＳ Ｐ明朝" w:hint="eastAsia"/>
          <w:sz w:val="18"/>
          <w:szCs w:val="20"/>
        </w:rPr>
        <w:t>）</w:t>
      </w:r>
      <w:r w:rsidRPr="00256995">
        <w:rPr>
          <w:rFonts w:ascii="ＭＳ Ｐ明朝" w:eastAsia="ＭＳ Ｐ明朝" w:hAnsi="ＭＳ Ｐ明朝" w:hint="eastAsia"/>
          <w:sz w:val="18"/>
          <w:szCs w:val="20"/>
        </w:rPr>
        <w:t>。</w:t>
      </w:r>
    </w:p>
    <w:p w:rsidR="00DA75A4" w:rsidRPr="00DA75A4" w:rsidRDefault="00DA75A4" w:rsidP="00DA75A4">
      <w:pPr>
        <w:rPr>
          <w:rFonts w:ascii="ＭＳ Ｐゴシック" w:eastAsia="ＭＳ Ｐゴシック" w:hAnsi="ＭＳ Ｐゴシック"/>
          <w:b/>
          <w:sz w:val="18"/>
          <w:szCs w:val="18"/>
        </w:rPr>
      </w:pPr>
    </w:p>
    <w:tbl>
      <w:tblPr>
        <w:tblStyle w:val="6"/>
        <w:tblW w:w="0" w:type="auto"/>
        <w:tblLook w:val="04A0" w:firstRow="1" w:lastRow="0" w:firstColumn="1" w:lastColumn="0" w:noHBand="0" w:noVBand="1"/>
      </w:tblPr>
      <w:tblGrid>
        <w:gridCol w:w="566"/>
        <w:gridCol w:w="1839"/>
        <w:gridCol w:w="6315"/>
      </w:tblGrid>
      <w:tr w:rsidR="00DA75A4" w:rsidRPr="00256995" w:rsidTr="00603C18">
        <w:tc>
          <w:tcPr>
            <w:tcW w:w="2405" w:type="dxa"/>
            <w:gridSpan w:val="2"/>
            <w:shd w:val="clear" w:color="auto" w:fill="D9D9D9" w:themeFill="background1" w:themeFillShade="D9"/>
          </w:tcPr>
          <w:p w:rsidR="00DA75A4" w:rsidRPr="00256995" w:rsidRDefault="00DA75A4" w:rsidP="00DA75A4">
            <w:pPr>
              <w:rPr>
                <w:rFonts w:ascii="ＭＳ Ｐゴシック" w:eastAsia="ＭＳ Ｐゴシック" w:hAnsi="ＭＳ Ｐゴシック"/>
                <w:b/>
                <w:sz w:val="18"/>
                <w:szCs w:val="16"/>
              </w:rPr>
            </w:pPr>
            <w:r w:rsidRPr="00256995">
              <w:rPr>
                <w:rFonts w:ascii="ＭＳ Ｐゴシック" w:eastAsia="ＭＳ Ｐゴシック" w:hAnsi="ＭＳ Ｐゴシック"/>
                <w:b/>
                <w:kern w:val="0"/>
                <w:sz w:val="18"/>
                <w:szCs w:val="16"/>
              </w:rPr>
              <w:t>トピック</w:t>
            </w:r>
          </w:p>
        </w:tc>
        <w:tc>
          <w:tcPr>
            <w:tcW w:w="6315" w:type="dxa"/>
            <w:shd w:val="clear" w:color="auto" w:fill="D9D9D9" w:themeFill="background1" w:themeFillShade="D9"/>
          </w:tcPr>
          <w:p w:rsidR="00DA75A4" w:rsidRPr="00256995" w:rsidRDefault="00DA75A4" w:rsidP="00DA75A4">
            <w:pPr>
              <w:rPr>
                <w:rFonts w:ascii="ＭＳ Ｐゴシック" w:eastAsia="ＭＳ Ｐゴシック" w:hAnsi="ＭＳ Ｐゴシック"/>
                <w:b/>
                <w:sz w:val="18"/>
                <w:szCs w:val="16"/>
              </w:rPr>
            </w:pPr>
            <w:r w:rsidRPr="00256995">
              <w:rPr>
                <w:rFonts w:ascii="ＭＳ Ｐゴシック" w:eastAsia="ＭＳ Ｐゴシック" w:hAnsi="ＭＳ Ｐゴシック"/>
                <w:b/>
                <w:sz w:val="18"/>
                <w:szCs w:val="16"/>
              </w:rPr>
              <w:t>説明</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1</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組織、予算、計画、ならび</w:t>
            </w:r>
            <w:bookmarkStart w:id="1" w:name="_GoBack"/>
            <w:bookmarkEnd w:id="1"/>
            <w:r w:rsidRPr="00256995">
              <w:rPr>
                <w:rFonts w:ascii="ＭＳ Ｐゴシック" w:eastAsia="ＭＳ Ｐゴシック" w:hAnsi="ＭＳ Ｐゴシック"/>
                <w:sz w:val="18"/>
                <w:szCs w:val="16"/>
              </w:rPr>
              <w:t>にトレーニング</w:t>
            </w:r>
          </w:p>
        </w:tc>
        <w:tc>
          <w:tcPr>
            <w:tcW w:w="6315" w:type="dxa"/>
          </w:tcPr>
          <w:p w:rsidR="00DA75A4" w:rsidRPr="00256995" w:rsidRDefault="00DA75A4" w:rsidP="00DA75A4">
            <w:pPr>
              <w:jc w:val="left"/>
              <w:rPr>
                <w:sz w:val="18"/>
                <w:szCs w:val="16"/>
              </w:rPr>
            </w:pPr>
            <w:r w:rsidRPr="00256995">
              <w:rPr>
                <w:sz w:val="18"/>
                <w:szCs w:val="16"/>
              </w:rPr>
              <w:t>実行可能な事項について説明した大まかではあるが詳細な計画、計画の達成方法、ガイドラインの作成と使用に必要な資源を明確にすることに関わるトピックである。この計画では、具体的な期間について言及し、形式に</w:t>
            </w:r>
            <w:r w:rsidRPr="00256995">
              <w:rPr>
                <w:rFonts w:hint="eastAsia"/>
                <w:sz w:val="18"/>
                <w:szCs w:val="16"/>
              </w:rPr>
              <w:t>則った</w:t>
            </w:r>
            <w:r w:rsidRPr="00256995">
              <w:rPr>
                <w:sz w:val="18"/>
                <w:szCs w:val="16"/>
              </w:rPr>
              <w:t>評価可能な用語を用いた表現を使用すべきである。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2</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優先順位の設定</w:t>
            </w:r>
          </w:p>
        </w:tc>
        <w:tc>
          <w:tcPr>
            <w:tcW w:w="6315" w:type="dxa"/>
          </w:tcPr>
          <w:p w:rsidR="00DA75A4" w:rsidRPr="00256995" w:rsidRDefault="00DA75A4" w:rsidP="00DA75A4">
            <w:pPr>
              <w:jc w:val="left"/>
              <w:rPr>
                <w:sz w:val="18"/>
                <w:szCs w:val="16"/>
              </w:rPr>
            </w:pPr>
            <w:r w:rsidRPr="00256995">
              <w:rPr>
                <w:sz w:val="18"/>
                <w:szCs w:val="16"/>
              </w:rPr>
              <w:t>利害関係者による優先事項の特定、比較検討、ランク付けに関するトピックである。優先順位</w:t>
            </w:r>
            <w:r w:rsidRPr="00256995">
              <w:rPr>
                <w:rFonts w:hint="eastAsia"/>
                <w:sz w:val="18"/>
                <w:szCs w:val="16"/>
              </w:rPr>
              <w:t>を</w:t>
            </w:r>
            <w:r w:rsidRPr="00256995">
              <w:rPr>
                <w:sz w:val="18"/>
                <w:szCs w:val="16"/>
              </w:rPr>
              <w:t>設定</w:t>
            </w:r>
            <w:r w:rsidRPr="00256995">
              <w:rPr>
                <w:rFonts w:hint="eastAsia"/>
                <w:sz w:val="18"/>
                <w:szCs w:val="16"/>
              </w:rPr>
              <w:t>することで</w:t>
            </w:r>
            <w:r w:rsidRPr="00256995">
              <w:rPr>
                <w:sz w:val="18"/>
                <w:szCs w:val="16"/>
              </w:rPr>
              <w:t>、医療に関わる推奨が集団、管轄区域、国に最も大きな利益をもたらす基本的分野（例: 慢性閉塞性肺疾患、糖尿病、心血管疾患、癌の予防）に資源が割り当てられ、注意が向けられることを確実にする。優先順位設定アプローチでは、困難が予測される既存の状況に対応しつつも、今後の計画に貢献する必要があ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3</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ガイドライングループのメンバー構成</w:t>
            </w:r>
          </w:p>
        </w:tc>
        <w:tc>
          <w:tcPr>
            <w:tcW w:w="6315" w:type="dxa"/>
          </w:tcPr>
          <w:p w:rsidR="00DA75A4" w:rsidRPr="00256995" w:rsidRDefault="00DA75A4" w:rsidP="00DA75A4">
            <w:pPr>
              <w:jc w:val="left"/>
              <w:rPr>
                <w:sz w:val="18"/>
                <w:szCs w:val="16"/>
              </w:rPr>
            </w:pPr>
            <w:r w:rsidRPr="00256995">
              <w:rPr>
                <w:sz w:val="18"/>
                <w:szCs w:val="16"/>
              </w:rPr>
              <w:t>誰が、どういった立場で参加するのか、ならびにガイドライン作成およびガイドラインプロジェクトの他の段階のためのメンバー選出方法を定義するトピックである。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4</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ガイドライングループプロセスの確立</w:t>
            </w:r>
          </w:p>
        </w:tc>
        <w:tc>
          <w:tcPr>
            <w:tcW w:w="6315" w:type="dxa"/>
          </w:tcPr>
          <w:p w:rsidR="00DA75A4" w:rsidRPr="00256995" w:rsidRDefault="00DA75A4" w:rsidP="00DA75A4">
            <w:pPr>
              <w:jc w:val="left"/>
              <w:rPr>
                <w:sz w:val="18"/>
                <w:szCs w:val="16"/>
              </w:rPr>
            </w:pPr>
            <w:r w:rsidRPr="00256995">
              <w:rPr>
                <w:sz w:val="18"/>
                <w:szCs w:val="16"/>
              </w:rPr>
              <w:t>従うべき手順、参加者の意見交換の方法、意思決定の方法について定義するトピックである。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5</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対象読者とトピックの選択</w:t>
            </w:r>
          </w:p>
        </w:tc>
        <w:tc>
          <w:tcPr>
            <w:tcW w:w="6315" w:type="dxa"/>
          </w:tcPr>
          <w:p w:rsidR="00DA75A4" w:rsidRPr="00256995" w:rsidRDefault="00DA75A4" w:rsidP="00DA75A4">
            <w:pPr>
              <w:jc w:val="left"/>
              <w:rPr>
                <w:sz w:val="18"/>
                <w:szCs w:val="16"/>
              </w:rPr>
            </w:pPr>
            <w:r w:rsidRPr="00256995">
              <w:rPr>
                <w:sz w:val="18"/>
                <w:szCs w:val="16"/>
              </w:rPr>
              <w:t>想定されるガイドラインユーザーおよび消費者について説明し、ガイドラインで取り上げることになるトピック（例: 慢性閉塞性肺疾患の診断）を定義するトピックである。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6</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消費者と利害関係者の関与</w:t>
            </w:r>
          </w:p>
        </w:tc>
        <w:tc>
          <w:tcPr>
            <w:tcW w:w="6315" w:type="dxa"/>
          </w:tcPr>
          <w:p w:rsidR="00DA75A4" w:rsidRPr="00256995" w:rsidRDefault="00DA75A4" w:rsidP="00DA75A4">
            <w:pPr>
              <w:jc w:val="left"/>
              <w:rPr>
                <w:sz w:val="18"/>
                <w:szCs w:val="16"/>
              </w:rPr>
            </w:pPr>
            <w:r w:rsidRPr="00256995">
              <w:rPr>
                <w:sz w:val="18"/>
                <w:szCs w:val="16"/>
              </w:rPr>
              <w:t>必ずしもガイドラインパネルのメンバーではないが、ガイドラインの影響を受ける（例: 対象読者またはユーザーとして影響を受ける）人々または集団をどのように関与させるかについて説明するトピックである。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7</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利益相反についての検討</w:t>
            </w:r>
          </w:p>
        </w:tc>
        <w:tc>
          <w:tcPr>
            <w:tcW w:w="6315" w:type="dxa"/>
          </w:tcPr>
          <w:p w:rsidR="00DA75A4" w:rsidRPr="00256995" w:rsidRDefault="00DA75A4" w:rsidP="00DA75A4">
            <w:pPr>
              <w:jc w:val="left"/>
              <w:rPr>
                <w:sz w:val="18"/>
                <w:szCs w:val="16"/>
              </w:rPr>
            </w:pPr>
            <w:r w:rsidRPr="00256995">
              <w:rPr>
                <w:sz w:val="18"/>
                <w:szCs w:val="16"/>
              </w:rPr>
              <w:t>個人の行動や決断が金銭面や学業面での昇進、診療上の収入源、あるいは社会的立場などの個人的利益により動機付け</w:t>
            </w:r>
            <w:r w:rsidRPr="00256995">
              <w:rPr>
                <w:rFonts w:hint="eastAsia"/>
                <w:sz w:val="18"/>
                <w:szCs w:val="16"/>
              </w:rPr>
              <w:t>さ</w:t>
            </w:r>
            <w:r w:rsidRPr="00256995">
              <w:rPr>
                <w:sz w:val="18"/>
                <w:szCs w:val="16"/>
              </w:rPr>
              <w:t>れていると疑われるような、個人の私的</w:t>
            </w:r>
            <w:r w:rsidRPr="00256995">
              <w:rPr>
                <w:sz w:val="18"/>
                <w:szCs w:val="16"/>
              </w:rPr>
              <w:lastRenderedPageBreak/>
              <w:t>利害と職務との間に想定される相違を定義し、管理することに取り組むトピックである。これには、先入観を持たずして科学的疑問にアプローチする個人または組織の能力に影響を及ぼしうる金銭的、知的、またはその他の関係が含まれ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lastRenderedPageBreak/>
              <w:t>8</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疑問の生成</w:t>
            </w:r>
          </w:p>
        </w:tc>
        <w:tc>
          <w:tcPr>
            <w:tcW w:w="6315" w:type="dxa"/>
          </w:tcPr>
          <w:p w:rsidR="00DA75A4" w:rsidRPr="00256995" w:rsidRDefault="00DA75A4" w:rsidP="00DA75A4">
            <w:pPr>
              <w:jc w:val="left"/>
              <w:rPr>
                <w:sz w:val="18"/>
                <w:szCs w:val="16"/>
              </w:rPr>
            </w:pPr>
            <w:r w:rsidRPr="00256995">
              <w:rPr>
                <w:sz w:val="18"/>
                <w:szCs w:val="16"/>
              </w:rPr>
              <w:t>PICO（patient/problem, intervention, comparison, outcome）フレームワークを使用し、意思決定を左右する集団や介入（診断検査や診断戦略を含む）やアウトカムに関する詳細を含む、推奨において取り上げるべき重要な疑問（例: 慢性閉塞性肺疾患患者には検査Aを使用すべきか、または治療B、C、D、Eのいずれを使用すべきか）の定義に取り組むトピックである。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9</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アウトカムと介入の重要性、ならびに価値観、好み、効用の検討</w:t>
            </w:r>
          </w:p>
        </w:tc>
        <w:tc>
          <w:tcPr>
            <w:tcW w:w="6315" w:type="dxa"/>
          </w:tcPr>
          <w:p w:rsidR="00DA75A4" w:rsidRPr="00256995" w:rsidRDefault="00DA75A4" w:rsidP="00DA75A4">
            <w:pPr>
              <w:jc w:val="left"/>
              <w:rPr>
                <w:sz w:val="18"/>
                <w:szCs w:val="16"/>
              </w:rPr>
            </w:pPr>
            <w:r w:rsidRPr="00256995">
              <w:rPr>
                <w:sz w:val="18"/>
                <w:szCs w:val="16"/>
              </w:rPr>
              <w:t>このトピックでは、ガイドラインの推奨の影響を受ける人たちが、考えられる帰結をどう評価するかをガイドライン作成プロセスの中で考慮する。その検討事項としてあげられるのは、「患者、介護者、および医療提供者の知識、態度、期待、道徳的および倫理的価値観、ならびに信条」、「人生および健康に対する患者の目標」、「当該介入または当該状態に関わる過去の経験」、「症状の経験（例: 息切れ、痛み、呼吸困難、体重減少）」、「望ましいアウトカムと望ましくないアウトカムに関する好みと重要性」、「当該状態または介入が生活の質、幸福、または満足度に及ぼす影響に対する認識、ならびに当該介入の実施に関わる業務、介入そのもの、および患者が経験するかもしれないその他の状況の相互作用」、「複数の処置選択肢に対する好み」、「コミュニケーションの内容や様式、情報、ならびに意思決定と治療への関与に関わる好み」 である。これは、経済学的文献において効用とみなされるものに関連しているかもしれない。介入そのものは推奨の帰結とみなされ（例: 薬剤服用または手術の負担）、推奨には重要性または価値観が関係する。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10</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採用するエビデンスの決定、ならびにエビデンスの検索</w:t>
            </w:r>
          </w:p>
        </w:tc>
        <w:tc>
          <w:tcPr>
            <w:tcW w:w="6315" w:type="dxa"/>
          </w:tcPr>
          <w:p w:rsidR="00DA75A4" w:rsidRPr="00256995" w:rsidRDefault="00DA75A4" w:rsidP="00DA75A4">
            <w:pPr>
              <w:jc w:val="left"/>
              <w:rPr>
                <w:sz w:val="18"/>
                <w:szCs w:val="16"/>
              </w:rPr>
            </w:pPr>
            <w:r w:rsidRPr="00256995">
              <w:rPr>
                <w:sz w:val="18"/>
                <w:szCs w:val="16"/>
              </w:rPr>
              <w:t>エビデンスのタイプ（例: 厳格な研究、情報に基づく収集）、研究デザイン、集団の特徴、介入、比較対照に基づき、組み入れ基準と除外基準を明確にし、エビデンスの特定と収集のための方法を決定することに取り組むトピックである。これには価値観と好みに関するエビデンス、現場のデータや資料も含まれるが、この限りではない。</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11</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エビデンスの要約、ならびに追加的情報の検討</w:t>
            </w:r>
          </w:p>
        </w:tc>
        <w:tc>
          <w:tcPr>
            <w:tcW w:w="6315" w:type="dxa"/>
          </w:tcPr>
          <w:p w:rsidR="00DA75A4" w:rsidRPr="00256995" w:rsidRDefault="00DA75A4" w:rsidP="00DA75A4">
            <w:pPr>
              <w:jc w:val="left"/>
              <w:rPr>
                <w:sz w:val="18"/>
                <w:szCs w:val="16"/>
              </w:rPr>
            </w:pPr>
            <w:r w:rsidRPr="00256995">
              <w:rPr>
                <w:sz w:val="18"/>
                <w:szCs w:val="16"/>
              </w:rPr>
              <w:t>推奨の</w:t>
            </w:r>
            <w:r w:rsidRPr="00256995">
              <w:rPr>
                <w:rFonts w:hint="eastAsia"/>
                <w:sz w:val="18"/>
                <w:szCs w:val="16"/>
              </w:rPr>
              <w:t>作成</w:t>
            </w:r>
            <w:r w:rsidRPr="00256995">
              <w:rPr>
                <w:sz w:val="18"/>
                <w:szCs w:val="16"/>
              </w:rPr>
              <w:t>と理解を促すために、統合的な形式（例: 表または簡潔な解説）でエビデンスを提示することに取り組むトピックである。懸案の疑問に関する追加的情報の特定と検討も行う。</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12</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body of evidence</w:t>
            </w:r>
            <w:r w:rsidRPr="00256995">
              <w:rPr>
                <w:rFonts w:ascii="ＭＳ Ｐゴシック" w:eastAsia="ＭＳ Ｐゴシック" w:hAnsi="ＭＳ Ｐゴシック"/>
                <w:sz w:val="18"/>
                <w:szCs w:val="16"/>
              </w:rPr>
              <w:t>の質、強さ、または確信性の判断</w:t>
            </w:r>
          </w:p>
        </w:tc>
        <w:tc>
          <w:tcPr>
            <w:tcW w:w="6315" w:type="dxa"/>
          </w:tcPr>
          <w:p w:rsidR="00DA75A4" w:rsidRPr="00256995" w:rsidRDefault="00DA75A4" w:rsidP="00DA75A4">
            <w:pPr>
              <w:jc w:val="left"/>
              <w:rPr>
                <w:sz w:val="18"/>
                <w:szCs w:val="16"/>
              </w:rPr>
            </w:pPr>
            <w:r w:rsidRPr="00256995">
              <w:rPr>
                <w:sz w:val="18"/>
                <w:szCs w:val="16"/>
              </w:rPr>
              <w:t>このトピックでは、取得した研究（個々の研究や、複数の研究に関わるもの）や他のエビデンスを透明性の高い方法で構造化されたアプローチを使用して評価することにより、取得したエビデンスの確信性を評価する。これには、ベースライン時の疾患のリスクまたは負担、アウトカムと介入の重要性、価値観と好みと効用、必要資源量（コスト）、効果推定値、診断検査の精度が含まれるかもしれないが、この限りではない。</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13</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推奨の作成、ならび</w:t>
            </w:r>
            <w:r w:rsidRPr="00256995">
              <w:rPr>
                <w:rFonts w:ascii="ＭＳ Ｐゴシック" w:eastAsia="ＭＳ Ｐゴシック" w:hAnsi="ＭＳ Ｐゴシック"/>
                <w:sz w:val="18"/>
                <w:szCs w:val="16"/>
              </w:rPr>
              <w:lastRenderedPageBreak/>
              <w:t>に推奨の強さの判断</w:t>
            </w:r>
          </w:p>
        </w:tc>
        <w:tc>
          <w:tcPr>
            <w:tcW w:w="6315" w:type="dxa"/>
          </w:tcPr>
          <w:p w:rsidR="00DA75A4" w:rsidRPr="00256995" w:rsidRDefault="00DA75A4" w:rsidP="00DA75A4">
            <w:pPr>
              <w:jc w:val="left"/>
              <w:rPr>
                <w:sz w:val="18"/>
                <w:szCs w:val="16"/>
              </w:rPr>
            </w:pPr>
            <w:r w:rsidRPr="00256995">
              <w:rPr>
                <w:sz w:val="18"/>
                <w:szCs w:val="16"/>
              </w:rPr>
              <w:lastRenderedPageBreak/>
              <w:t>推奨の</w:t>
            </w:r>
            <w:r w:rsidRPr="00256995">
              <w:rPr>
                <w:rFonts w:hint="eastAsia"/>
                <w:sz w:val="18"/>
                <w:szCs w:val="16"/>
              </w:rPr>
              <w:t>作成</w:t>
            </w:r>
            <w:r w:rsidRPr="00256995">
              <w:rPr>
                <w:sz w:val="18"/>
                <w:szCs w:val="16"/>
              </w:rPr>
              <w:t>においては、構造化された分析的枠組み、ならびに推奨に影響する</w:t>
            </w:r>
            <w:r w:rsidRPr="00256995">
              <w:rPr>
                <w:sz w:val="18"/>
                <w:szCs w:val="16"/>
              </w:rPr>
              <w:lastRenderedPageBreak/>
              <w:t>要因を統合するための透明性の高い系統的なプロセスを使用する。推奨の強さの判断とは、推奨の実施により、望ましくない帰結よりも望ましい帰結の方が多くもたらされることに対し、ガイドラインパネルがどの程度の確信を持てるかを判断することを意味す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lastRenderedPageBreak/>
              <w:t>14</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推奨の表現や、実施、実行可能性、公平性に関する検討事項の表現</w:t>
            </w:r>
          </w:p>
        </w:tc>
        <w:tc>
          <w:tcPr>
            <w:tcW w:w="6315" w:type="dxa"/>
          </w:tcPr>
          <w:p w:rsidR="00DA75A4" w:rsidRPr="00256995" w:rsidRDefault="00DA75A4" w:rsidP="00DA75A4">
            <w:pPr>
              <w:jc w:val="left"/>
              <w:rPr>
                <w:sz w:val="18"/>
                <w:szCs w:val="16"/>
              </w:rPr>
            </w:pPr>
            <w:r w:rsidRPr="00256995">
              <w:rPr>
                <w:sz w:val="18"/>
                <w:szCs w:val="16"/>
              </w:rPr>
              <w:t>推奨の理解と実施を円滑にする構文や記述を選択することに関するトピックである。これは実施、実行可能性、公平性についての検討事項に関係する表現であり、つまり推奨がどのように使用され、それが説明されている要因にどのような影響を及ぼすのかについてのガイドラインパネルの検討内容を示したものであ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15</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報告とピアレビュー</w:t>
            </w:r>
          </w:p>
        </w:tc>
        <w:tc>
          <w:tcPr>
            <w:tcW w:w="6315" w:type="dxa"/>
          </w:tcPr>
          <w:p w:rsidR="00DA75A4" w:rsidRPr="00256995" w:rsidRDefault="00DA75A4" w:rsidP="00DA75A4">
            <w:pPr>
              <w:jc w:val="left"/>
              <w:rPr>
                <w:sz w:val="18"/>
                <w:szCs w:val="16"/>
              </w:rPr>
            </w:pPr>
            <w:r w:rsidRPr="00256995">
              <w:rPr>
                <w:sz w:val="18"/>
                <w:szCs w:val="16"/>
              </w:rPr>
              <w:t>報告とは、ガイドラインの開示方法（例: 印刷物、オンラインでの開示）を意味する。ピアレビューとは、出版前のガイドライン文書のレビュー方法、ならびにガイドライン作成グループのメンバー以外の利害関係者による内部評価ならびに外部評価（例: 誤りの評価）のための方法を意味する。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16</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配布と実施</w:t>
            </w:r>
          </w:p>
        </w:tc>
        <w:tc>
          <w:tcPr>
            <w:tcW w:w="6315" w:type="dxa"/>
          </w:tcPr>
          <w:p w:rsidR="00DA75A4" w:rsidRPr="00256995" w:rsidRDefault="00DA75A4" w:rsidP="00DA75A4">
            <w:pPr>
              <w:jc w:val="left"/>
              <w:rPr>
                <w:sz w:val="18"/>
                <w:szCs w:val="16"/>
              </w:rPr>
            </w:pPr>
            <w:r w:rsidRPr="00256995">
              <w:rPr>
                <w:sz w:val="18"/>
                <w:szCs w:val="16"/>
              </w:rPr>
              <w:t>関連するグループにガイドラインの周知を図り、ガイドラインの受け入れを促すための戦略（例: 出版方法や、モバイルアプリケーションなどのツール）に取り組むトピックである。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17</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評価と使用</w:t>
            </w:r>
          </w:p>
        </w:tc>
        <w:tc>
          <w:tcPr>
            <w:tcW w:w="6315" w:type="dxa"/>
          </w:tcPr>
          <w:p w:rsidR="00DA75A4" w:rsidRPr="00256995" w:rsidRDefault="00DA75A4" w:rsidP="00DA75A4">
            <w:pPr>
              <w:jc w:val="left"/>
              <w:rPr>
                <w:sz w:val="18"/>
                <w:szCs w:val="16"/>
              </w:rPr>
            </w:pPr>
            <w:r w:rsidRPr="00256995">
              <w:rPr>
                <w:sz w:val="18"/>
                <w:szCs w:val="16"/>
              </w:rPr>
              <w:t>プロセスならびに商品としてのガイドラインの評価、使用または受け入れ（またはその両方）に関する評価、影響ならびにガイドラインが患者または集団の健康ならびに他の帰結の改善をもたらすかどうかの評価について判断するための公式または非公式の戦略に関するトピックである。</w:t>
            </w:r>
          </w:p>
        </w:tc>
      </w:tr>
      <w:tr w:rsidR="00DA75A4" w:rsidRPr="00256995" w:rsidTr="00603C18">
        <w:tc>
          <w:tcPr>
            <w:tcW w:w="566" w:type="dxa"/>
          </w:tcPr>
          <w:p w:rsidR="00DA75A4" w:rsidRPr="00256995" w:rsidRDefault="00DA75A4" w:rsidP="00DA75A4">
            <w:pPr>
              <w:rPr>
                <w:rFonts w:ascii="ＭＳ Ｐゴシック" w:eastAsia="ＭＳ Ｐゴシック" w:hAnsi="ＭＳ Ｐゴシック"/>
                <w:sz w:val="18"/>
                <w:szCs w:val="16"/>
              </w:rPr>
            </w:pPr>
            <w:r w:rsidRPr="00256995">
              <w:rPr>
                <w:rFonts w:ascii="ＭＳ Ｐゴシック" w:eastAsia="ＭＳ Ｐゴシック" w:hAnsi="ＭＳ Ｐゴシック" w:hint="eastAsia"/>
                <w:sz w:val="18"/>
                <w:szCs w:val="16"/>
              </w:rPr>
              <w:t>18</w:t>
            </w:r>
          </w:p>
        </w:tc>
        <w:tc>
          <w:tcPr>
            <w:tcW w:w="1839" w:type="dxa"/>
          </w:tcPr>
          <w:p w:rsidR="00DA75A4" w:rsidRPr="00256995" w:rsidRDefault="00DA75A4" w:rsidP="00DA75A4">
            <w:pPr>
              <w:jc w:val="left"/>
              <w:rPr>
                <w:rFonts w:ascii="ＭＳ Ｐゴシック" w:eastAsia="ＭＳ Ｐゴシック" w:hAnsi="ＭＳ Ｐゴシック"/>
                <w:sz w:val="18"/>
                <w:szCs w:val="16"/>
              </w:rPr>
            </w:pPr>
            <w:r w:rsidRPr="00256995">
              <w:rPr>
                <w:rFonts w:ascii="ＭＳ Ｐゴシック" w:eastAsia="ＭＳ Ｐゴシック" w:hAnsi="ＭＳ Ｐゴシック"/>
                <w:sz w:val="18"/>
                <w:szCs w:val="16"/>
              </w:rPr>
              <w:t>更新</w:t>
            </w:r>
          </w:p>
        </w:tc>
        <w:tc>
          <w:tcPr>
            <w:tcW w:w="6315" w:type="dxa"/>
          </w:tcPr>
          <w:p w:rsidR="00DA75A4" w:rsidRPr="00256995" w:rsidRDefault="00DA75A4" w:rsidP="00DA75A4">
            <w:pPr>
              <w:jc w:val="left"/>
              <w:rPr>
                <w:sz w:val="18"/>
                <w:szCs w:val="16"/>
              </w:rPr>
            </w:pPr>
            <w:r w:rsidRPr="00256995">
              <w:rPr>
                <w:sz w:val="18"/>
                <w:szCs w:val="16"/>
              </w:rPr>
              <w:t>エビデンス、ならびに推奨に影響する他の要因に変化があった場合にどのような方法で、どのタイミングでガイドラインを改訂する必要があるかに関するトピックである。</w:t>
            </w:r>
          </w:p>
        </w:tc>
      </w:tr>
    </w:tbl>
    <w:p w:rsidR="00DA75A4" w:rsidRPr="00DA75A4" w:rsidRDefault="00DA75A4" w:rsidP="00DA75A4">
      <w:pPr>
        <w:widowControl/>
        <w:ind w:firstLineChars="100" w:firstLine="160"/>
        <w:jc w:val="right"/>
        <w:rPr>
          <w:rFonts w:ascii="ＭＳ Ｐゴシック" w:eastAsia="ＭＳ Ｐゴシック" w:hAnsi="ＭＳ Ｐゴシック" w:cs="Times New Roman"/>
          <w:color w:val="000000"/>
          <w:kern w:val="0"/>
          <w:sz w:val="16"/>
          <w:szCs w:val="16"/>
        </w:rPr>
      </w:pPr>
      <w:r w:rsidRPr="00DA75A4">
        <w:rPr>
          <w:rFonts w:ascii="ＭＳ Ｐゴシック" w:eastAsia="ＭＳ Ｐゴシック" w:hAnsi="ＭＳ Ｐゴシック" w:cs="Times New Roman"/>
          <w:color w:val="000000"/>
          <w:kern w:val="0"/>
          <w:sz w:val="16"/>
          <w:szCs w:val="16"/>
        </w:rPr>
        <w:t>Canadian Medical Association</w:t>
      </w:r>
      <w:r w:rsidRPr="00DA75A4">
        <w:rPr>
          <w:rFonts w:ascii="ＭＳ Ｐゴシック" w:eastAsia="ＭＳ Ｐゴシック" w:hAnsi="ＭＳ Ｐゴシック" w:cs="Times New Roman" w:hint="eastAsia"/>
          <w:color w:val="000000"/>
          <w:kern w:val="0"/>
          <w:sz w:val="16"/>
          <w:szCs w:val="16"/>
        </w:rPr>
        <w:t>より許可を得て、Schunemannら</w:t>
      </w:r>
      <w:r w:rsidRPr="00DA75A4">
        <w:rPr>
          <w:rFonts w:ascii="ＭＳ Ｐゴシック" w:eastAsia="ＭＳ Ｐゴシック" w:hAnsi="ＭＳ Ｐゴシック" w:cs="Times New Roman" w:hint="eastAsia"/>
          <w:color w:val="FF0000"/>
          <w:kern w:val="0"/>
          <w:sz w:val="16"/>
          <w:szCs w:val="16"/>
        </w:rPr>
        <w:t>[147]</w:t>
      </w:r>
      <w:r w:rsidRPr="00DA75A4">
        <w:rPr>
          <w:rFonts w:ascii="ＭＳ Ｐゴシック" w:eastAsia="ＭＳ Ｐゴシック" w:hAnsi="ＭＳ Ｐゴシック" w:cs="Times New Roman" w:hint="eastAsia"/>
          <w:color w:val="000000"/>
          <w:kern w:val="0"/>
          <w:sz w:val="16"/>
          <w:szCs w:val="16"/>
        </w:rPr>
        <w:t>より翻訳転載</w:t>
      </w:r>
    </w:p>
    <w:p w:rsidR="00DA75A4" w:rsidRPr="00DA75A4" w:rsidRDefault="00DA75A4" w:rsidP="00DA75A4">
      <w:pPr>
        <w:jc w:val="left"/>
        <w:rPr>
          <w:rFonts w:ascii="ＭＳ Ｐ明朝" w:eastAsia="ＭＳ Ｐ明朝" w:hAnsi="ＭＳ Ｐ明朝"/>
          <w:szCs w:val="21"/>
        </w:rPr>
      </w:pPr>
    </w:p>
    <w:p w:rsidR="00ED0584" w:rsidRDefault="00ED0584"/>
    <w:sectPr w:rsidR="00ED0584">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FD" w:rsidRDefault="00EC2CFD" w:rsidP="00DA75A4">
      <w:r>
        <w:separator/>
      </w:r>
    </w:p>
  </w:endnote>
  <w:endnote w:type="continuationSeparator" w:id="0">
    <w:p w:rsidR="00EC2CFD" w:rsidRDefault="00EC2CFD" w:rsidP="00DA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1774"/>
      <w:docPartObj>
        <w:docPartGallery w:val="Page Numbers (Bottom of Page)"/>
        <w:docPartUnique/>
      </w:docPartObj>
    </w:sdtPr>
    <w:sdtEndPr/>
    <w:sdtContent>
      <w:p w:rsidR="002A6B0B" w:rsidRDefault="002A6B0B">
        <w:pPr>
          <w:pStyle w:val="ab"/>
          <w:jc w:val="center"/>
        </w:pPr>
        <w:r>
          <w:fldChar w:fldCharType="begin"/>
        </w:r>
        <w:r>
          <w:instrText>PAGE   \* MERGEFORMAT</w:instrText>
        </w:r>
        <w:r>
          <w:fldChar w:fldCharType="separate"/>
        </w:r>
        <w:r w:rsidR="00256995" w:rsidRPr="00256995">
          <w:rPr>
            <w:noProof/>
            <w:lang w:val="ja-JP"/>
          </w:rPr>
          <w:t>3</w:t>
        </w:r>
        <w:r>
          <w:fldChar w:fldCharType="end"/>
        </w:r>
      </w:p>
    </w:sdtContent>
  </w:sdt>
  <w:p w:rsidR="002A6B0B" w:rsidRDefault="002A6B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FD" w:rsidRDefault="00EC2CFD" w:rsidP="00DA75A4">
      <w:r>
        <w:separator/>
      </w:r>
    </w:p>
  </w:footnote>
  <w:footnote w:type="continuationSeparator" w:id="0">
    <w:p w:rsidR="00EC2CFD" w:rsidRDefault="00EC2CFD" w:rsidP="00DA75A4">
      <w:r>
        <w:continuationSeparator/>
      </w:r>
    </w:p>
  </w:footnote>
  <w:footnote w:id="1">
    <w:p w:rsidR="00DA75A4" w:rsidRPr="00DA75A4" w:rsidRDefault="00DA75A4">
      <w:pPr>
        <w:pStyle w:val="a3"/>
        <w:rPr>
          <w:sz w:val="18"/>
          <w:szCs w:val="18"/>
        </w:rPr>
      </w:pPr>
      <w:r w:rsidRPr="00DA75A4">
        <w:rPr>
          <w:rStyle w:val="a5"/>
          <w:sz w:val="18"/>
          <w:szCs w:val="18"/>
        </w:rPr>
        <w:footnoteRef/>
      </w:r>
      <w:r w:rsidRPr="00DA75A4">
        <w:rPr>
          <w:sz w:val="18"/>
          <w:szCs w:val="18"/>
        </w:rPr>
        <w:t xml:space="preserve"> </w:t>
      </w:r>
      <w:r w:rsidRPr="00DA75A4">
        <w:rPr>
          <w:rFonts w:ascii="ＭＳ Ｐ明朝" w:eastAsia="ＭＳ Ｐ明朝" w:hAnsi="ＭＳ Ｐ明朝" w:hint="eastAsia"/>
          <w:sz w:val="18"/>
          <w:szCs w:val="18"/>
        </w:rPr>
        <w:t>チェックリストは、オンライン版とpdf版の２種類があるが、いずれもフリーでwebサイト（http://cebgrade.mcmaster.ca/guidecheck.html）に公開されている。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0175"/>
    <w:multiLevelType w:val="hybridMultilevel"/>
    <w:tmpl w:val="4E0480A0"/>
    <w:lvl w:ilvl="0" w:tplc="88D60920">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2062BB"/>
    <w:multiLevelType w:val="hybridMultilevel"/>
    <w:tmpl w:val="B3A6865C"/>
    <w:lvl w:ilvl="0" w:tplc="FD72831C">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7E6236D"/>
    <w:multiLevelType w:val="hybridMultilevel"/>
    <w:tmpl w:val="B448B7FC"/>
    <w:lvl w:ilvl="0" w:tplc="4FAE53D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A4"/>
    <w:rsid w:val="000E19D6"/>
    <w:rsid w:val="00256995"/>
    <w:rsid w:val="002A0646"/>
    <w:rsid w:val="002A6B0B"/>
    <w:rsid w:val="00304F62"/>
    <w:rsid w:val="0032173B"/>
    <w:rsid w:val="003F1F9C"/>
    <w:rsid w:val="0042632C"/>
    <w:rsid w:val="007430A8"/>
    <w:rsid w:val="00834704"/>
    <w:rsid w:val="009902F6"/>
    <w:rsid w:val="00A24126"/>
    <w:rsid w:val="00D811DE"/>
    <w:rsid w:val="00DA75A4"/>
    <w:rsid w:val="00E735C6"/>
    <w:rsid w:val="00EC2CFD"/>
    <w:rsid w:val="00ED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A75A4"/>
    <w:pPr>
      <w:snapToGrid w:val="0"/>
      <w:jc w:val="left"/>
    </w:pPr>
  </w:style>
  <w:style w:type="character" w:customStyle="1" w:styleId="a4">
    <w:name w:val="脚注文字列 (文字)"/>
    <w:basedOn w:val="a0"/>
    <w:link w:val="a3"/>
    <w:uiPriority w:val="99"/>
    <w:rsid w:val="00DA75A4"/>
  </w:style>
  <w:style w:type="character" w:styleId="a5">
    <w:name w:val="footnote reference"/>
    <w:rsid w:val="00DA75A4"/>
    <w:rPr>
      <w:vertAlign w:val="superscript"/>
    </w:rPr>
  </w:style>
  <w:style w:type="table" w:customStyle="1" w:styleId="6">
    <w:name w:val="表 (格子)6"/>
    <w:basedOn w:val="a1"/>
    <w:next w:val="a6"/>
    <w:rsid w:val="00DA75A4"/>
    <w:rPr>
      <w:rFonts w:ascii="ＭＳ Ｐ明朝" w:eastAsia="ＭＳ Ｐ明朝" w:hAnsi="ＭＳ Ｐ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DA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A75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5A4"/>
    <w:rPr>
      <w:rFonts w:asciiTheme="majorHAnsi" w:eastAsiaTheme="majorEastAsia" w:hAnsiTheme="majorHAnsi" w:cstheme="majorBidi"/>
      <w:sz w:val="18"/>
      <w:szCs w:val="18"/>
    </w:rPr>
  </w:style>
  <w:style w:type="paragraph" w:styleId="a9">
    <w:name w:val="header"/>
    <w:basedOn w:val="a"/>
    <w:link w:val="aa"/>
    <w:uiPriority w:val="99"/>
    <w:unhideWhenUsed/>
    <w:rsid w:val="002A6B0B"/>
    <w:pPr>
      <w:tabs>
        <w:tab w:val="center" w:pos="4252"/>
        <w:tab w:val="right" w:pos="8504"/>
      </w:tabs>
      <w:snapToGrid w:val="0"/>
    </w:pPr>
  </w:style>
  <w:style w:type="character" w:customStyle="1" w:styleId="aa">
    <w:name w:val="ヘッダー (文字)"/>
    <w:basedOn w:val="a0"/>
    <w:link w:val="a9"/>
    <w:uiPriority w:val="99"/>
    <w:rsid w:val="002A6B0B"/>
  </w:style>
  <w:style w:type="paragraph" w:styleId="ab">
    <w:name w:val="footer"/>
    <w:basedOn w:val="a"/>
    <w:link w:val="ac"/>
    <w:uiPriority w:val="99"/>
    <w:unhideWhenUsed/>
    <w:rsid w:val="002A6B0B"/>
    <w:pPr>
      <w:tabs>
        <w:tab w:val="center" w:pos="4252"/>
        <w:tab w:val="right" w:pos="8504"/>
      </w:tabs>
      <w:snapToGrid w:val="0"/>
    </w:pPr>
  </w:style>
  <w:style w:type="character" w:customStyle="1" w:styleId="ac">
    <w:name w:val="フッター (文字)"/>
    <w:basedOn w:val="a0"/>
    <w:link w:val="ab"/>
    <w:uiPriority w:val="99"/>
    <w:rsid w:val="002A6B0B"/>
  </w:style>
  <w:style w:type="paragraph" w:styleId="ad">
    <w:name w:val="List Paragraph"/>
    <w:basedOn w:val="a"/>
    <w:uiPriority w:val="34"/>
    <w:qFormat/>
    <w:rsid w:val="003F1F9C"/>
    <w:pPr>
      <w:ind w:leftChars="400" w:left="840"/>
    </w:pPr>
  </w:style>
  <w:style w:type="character" w:styleId="ae">
    <w:name w:val="Hyperlink"/>
    <w:basedOn w:val="a0"/>
    <w:rsid w:val="00A241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A75A4"/>
    <w:pPr>
      <w:snapToGrid w:val="0"/>
      <w:jc w:val="left"/>
    </w:pPr>
  </w:style>
  <w:style w:type="character" w:customStyle="1" w:styleId="a4">
    <w:name w:val="脚注文字列 (文字)"/>
    <w:basedOn w:val="a0"/>
    <w:link w:val="a3"/>
    <w:uiPriority w:val="99"/>
    <w:rsid w:val="00DA75A4"/>
  </w:style>
  <w:style w:type="character" w:styleId="a5">
    <w:name w:val="footnote reference"/>
    <w:rsid w:val="00DA75A4"/>
    <w:rPr>
      <w:vertAlign w:val="superscript"/>
    </w:rPr>
  </w:style>
  <w:style w:type="table" w:customStyle="1" w:styleId="6">
    <w:name w:val="表 (格子)6"/>
    <w:basedOn w:val="a1"/>
    <w:next w:val="a6"/>
    <w:rsid w:val="00DA75A4"/>
    <w:rPr>
      <w:rFonts w:ascii="ＭＳ Ｐ明朝" w:eastAsia="ＭＳ Ｐ明朝" w:hAnsi="ＭＳ Ｐ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DA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A75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5A4"/>
    <w:rPr>
      <w:rFonts w:asciiTheme="majorHAnsi" w:eastAsiaTheme="majorEastAsia" w:hAnsiTheme="majorHAnsi" w:cstheme="majorBidi"/>
      <w:sz w:val="18"/>
      <w:szCs w:val="18"/>
    </w:rPr>
  </w:style>
  <w:style w:type="paragraph" w:styleId="a9">
    <w:name w:val="header"/>
    <w:basedOn w:val="a"/>
    <w:link w:val="aa"/>
    <w:uiPriority w:val="99"/>
    <w:unhideWhenUsed/>
    <w:rsid w:val="002A6B0B"/>
    <w:pPr>
      <w:tabs>
        <w:tab w:val="center" w:pos="4252"/>
        <w:tab w:val="right" w:pos="8504"/>
      </w:tabs>
      <w:snapToGrid w:val="0"/>
    </w:pPr>
  </w:style>
  <w:style w:type="character" w:customStyle="1" w:styleId="aa">
    <w:name w:val="ヘッダー (文字)"/>
    <w:basedOn w:val="a0"/>
    <w:link w:val="a9"/>
    <w:uiPriority w:val="99"/>
    <w:rsid w:val="002A6B0B"/>
  </w:style>
  <w:style w:type="paragraph" w:styleId="ab">
    <w:name w:val="footer"/>
    <w:basedOn w:val="a"/>
    <w:link w:val="ac"/>
    <w:uiPriority w:val="99"/>
    <w:unhideWhenUsed/>
    <w:rsid w:val="002A6B0B"/>
    <w:pPr>
      <w:tabs>
        <w:tab w:val="center" w:pos="4252"/>
        <w:tab w:val="right" w:pos="8504"/>
      </w:tabs>
      <w:snapToGrid w:val="0"/>
    </w:pPr>
  </w:style>
  <w:style w:type="character" w:customStyle="1" w:styleId="ac">
    <w:name w:val="フッター (文字)"/>
    <w:basedOn w:val="a0"/>
    <w:link w:val="ab"/>
    <w:uiPriority w:val="99"/>
    <w:rsid w:val="002A6B0B"/>
  </w:style>
  <w:style w:type="paragraph" w:styleId="ad">
    <w:name w:val="List Paragraph"/>
    <w:basedOn w:val="a"/>
    <w:uiPriority w:val="34"/>
    <w:qFormat/>
    <w:rsid w:val="003F1F9C"/>
    <w:pPr>
      <w:ind w:leftChars="400" w:left="840"/>
    </w:pPr>
  </w:style>
  <w:style w:type="character" w:styleId="ae">
    <w:name w:val="Hyperlink"/>
    <w:basedOn w:val="a0"/>
    <w:rsid w:val="00A241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rade-jpn.com/online_supplementals/online_supplemental_material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185B-3B79-4ED3-8DDE-BF87EB18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553</Words>
  <Characters>3156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aihara</dc:creator>
  <cp:lastModifiedBy>aihara</cp:lastModifiedBy>
  <cp:revision>13</cp:revision>
  <dcterms:created xsi:type="dcterms:W3CDTF">2015-03-18T09:06:00Z</dcterms:created>
  <dcterms:modified xsi:type="dcterms:W3CDTF">2016-04-22T00:12:00Z</dcterms:modified>
</cp:coreProperties>
</file>